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7" w:rsidRPr="00BB1147" w:rsidRDefault="00B91841" w:rsidP="00BB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s-PA"/>
        </w:rPr>
        <w:t>CSS presenta informe de la situación actual de la</w:t>
      </w:r>
      <w:bookmarkStart w:id="0" w:name="_GoBack"/>
      <w:bookmarkEnd w:id="0"/>
      <w:r w:rsidR="00BB1147" w:rsidRPr="00A030E8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s-PA"/>
        </w:rPr>
        <w:t xml:space="preserve"> CSS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 xml:space="preserve">Un informe de la situación de la Caja de Seguro Social (CSS) fue presentado por el director general de la entidad, Dr. Enrique </w:t>
      </w:r>
      <w:proofErr w:type="spellStart"/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Lau</w:t>
      </w:r>
      <w:proofErr w:type="spellEnd"/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 xml:space="preserve"> Cortés, en el que se destacó que de no tomarse las medidas correspondientes, en el 2023 las reservas para los pagos de pensiones podrían agotarse.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"Terminaremos los estados financieros auditados y refrendados por la Contraloría, con las corridas actuariales, para convocar a un diálogo por la CSS", sostuvo el director general, al destacar que se espera que en unos 18 meses culmine este proceso.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Ante representantes del sector empresarial, gremios de salud, pacientes y sector laboral, subrayó que en el diálogo, la no privatización de la entidad y la actualización del sistema de finanzas, son puntos esenciales para la actual administración, además del mejoramiento en la calidad de atención al asegurado.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Deudas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 xml:space="preserve">El Dr. </w:t>
      </w:r>
      <w:proofErr w:type="spellStart"/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Lau</w:t>
      </w:r>
      <w:proofErr w:type="spellEnd"/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 xml:space="preserve"> Cortés dijo que se encontraron con cuentas por cobrar por unos 734.9 millones de balboas, de los cuales, recientemente, se pagaron B/.421.3 millones que correspondían a cuotas obrero-patronales de funcionarios públicos y municipales.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Además, hasta junio de 2019, la empresa privada mantenía una deuda con la institución por B/.283 millones, por lo que se buscarán mecanismos que permitan cobrar estos dineros.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Medicamentos y citas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El abastecimiento de medicamentos en las instalaciones de la CSS es una prioridad y por ello se toman los correctivos para que en aproximadamente un año, los pacientes reciban el 100 % de sus medicamentos. Actualmente hay 119 renglones agotados en la institución, de un total de 415, lo que representa un 78 % de abastecimiento.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La implementación de la cita única, la acreditación de hospitales, y el plan de ahorro energético, entre otras iniciativas, se contemplan en los planes de acción de la CSS.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Obras de infraestructura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Sobre las obras de infraestructura hospitalaria, aclaró que se recibieron doce, de las cuales siete están en distintos grados de ejecución y cinco detenidas.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lastRenderedPageBreak/>
        <w:t>Las obras detenidas son: la Ciudad de la Salud, las policlínicas de Aguadulce, Penonomé, Boquete y los trabajos de construcción de los estacionamientos en la Policlínica "Dr. José. Joaquín. Vallarino Z.".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 xml:space="preserve">En el caso de la Ciudad de la Salud, el Dr. </w:t>
      </w:r>
      <w:proofErr w:type="spellStart"/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Lau</w:t>
      </w:r>
      <w:proofErr w:type="spellEnd"/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 xml:space="preserve"> Cortés aclaró que se está en un proceso de negociación con la empresa que desarrolla el proyecto, y para el 15 de febrero se contempla que hayan concluido las conversaciones para establecer qué se hará para reactivar la construcción y tener sus dos primeras fases listas a fines del 2021.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De las otras obras, cuya construcción están paralizadas desde el 2014-2015, se concluirá la de Boquete; mientras que las otras se encuentran en fase de rescisión de contratos.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Cifras de interés</w:t>
      </w:r>
    </w:p>
    <w:p w:rsidR="00BB1147" w:rsidRPr="00BB1147" w:rsidRDefault="00BB1147" w:rsidP="00BB11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PA"/>
        </w:rPr>
      </w:pP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t>1 millón 215 mil: cotizantes activos en la CSS.</w:t>
      </w: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br/>
        <w:t>87 %: población de cobertura de la CSS.</w:t>
      </w: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br/>
        <w:t>290 mil: jubilados y pensionados de la CSS.</w:t>
      </w:r>
      <w:r w:rsidRPr="00BB1147">
        <w:rPr>
          <w:rFonts w:ascii="Tahoma" w:eastAsia="Times New Roman" w:hAnsi="Tahoma" w:cs="Tahoma"/>
          <w:color w:val="000000"/>
          <w:sz w:val="24"/>
          <w:szCs w:val="24"/>
          <w:lang w:eastAsia="es-PA"/>
        </w:rPr>
        <w:br/>
        <w:t>62.5 % de jubilados y pensionados: reciben pago de B/.500 mensuales o menos</w:t>
      </w:r>
    </w:p>
    <w:p w:rsidR="00EC6306" w:rsidRPr="00A030E8" w:rsidRDefault="00EC6306">
      <w:pPr>
        <w:rPr>
          <w:sz w:val="24"/>
          <w:szCs w:val="24"/>
        </w:rPr>
      </w:pPr>
    </w:p>
    <w:sectPr w:rsidR="00EC6306" w:rsidRPr="00A03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47"/>
    <w:rsid w:val="00726DE4"/>
    <w:rsid w:val="00A030E8"/>
    <w:rsid w:val="00B91841"/>
    <w:rsid w:val="00BB1147"/>
    <w:rsid w:val="00D619A4"/>
    <w:rsid w:val="00E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B11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B11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Castillo</dc:creator>
  <cp:lastModifiedBy>Rene Castillo</cp:lastModifiedBy>
  <cp:revision>3</cp:revision>
  <dcterms:created xsi:type="dcterms:W3CDTF">2020-01-14T20:29:00Z</dcterms:created>
  <dcterms:modified xsi:type="dcterms:W3CDTF">2020-01-14T20:33:00Z</dcterms:modified>
</cp:coreProperties>
</file>